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поступающих в 10 класс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(гуманитарный профиль)</w:t>
      </w:r>
      <w:r>
        <w:rPr>
          <w:rFonts w:ascii="Times New Roman" w:hAnsi="Times New Roman" w:cs="Times New Roman"/>
        </w:rPr>
      </w:r>
      <w:r/>
    </w:p>
    <w:tbl>
      <w:tblPr>
        <w:tblStyle w:val="73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643"/>
        <w:gridCol w:w="1827"/>
        <w:gridCol w:w="1827"/>
        <w:gridCol w:w="1827"/>
        <w:gridCol w:w="1827"/>
        <w:gridCol w:w="1276"/>
        <w:gridCol w:w="1134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предмету по выбору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предмету по выбору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Мамирова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Алина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33,25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Шим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ко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 Екатер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ина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Хмел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ьницк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ая Яна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29,75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Гро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Сологуб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Дар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4,782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22,25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мофеева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25,75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маренко Екатерин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20,5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сян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Арина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4,608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21,25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Вла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сенко Свет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лана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инашин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Роман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4,391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26,75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6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Дя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ченко Ди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ана</w:t>
            </w:r>
            <w:r>
              <w:rPr>
                <w:color w:val="auto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21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27,73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24,27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4,727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hd w:val="nil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поступающих в 10 класс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(технологический профиль)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tbl>
      <w:tblPr>
        <w:tblStyle w:val="73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643"/>
        <w:gridCol w:w="1827"/>
        <w:gridCol w:w="1827"/>
        <w:gridCol w:w="1827"/>
        <w:gridCol w:w="1827"/>
        <w:gridCol w:w="1276"/>
        <w:gridCol w:w="1134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предмету по выбору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предмету по выбору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7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Кото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Иван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25,25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7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Учаев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Валерий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4,565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25,25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7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Жук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ов Семён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24,25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7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Анд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реенко Никита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4,435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Смирнов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Денис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4,348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7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rPr>
                <w:color w:val="auto"/>
              </w:rPr>
              <w:suppressLineNumbers w:val="0"/>
            </w:pPr>
            <w:r>
              <w:rPr>
                <w:color w:val="auto"/>
              </w:rPr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Ермаков М</w:t>
            </w:r>
            <w:r>
              <w:rPr>
                <w:rFonts w:ascii="Times New Roman" w:hAnsi="Times New Roman" w:cs="Times New Roman" w:eastAsiaTheme="minorHAnsi"/>
                <w:bCs/>
                <w:color w:val="auto"/>
                <w:sz w:val="24"/>
                <w:szCs w:val="24"/>
                <w:lang w:eastAsia="en-US"/>
              </w:rPr>
              <w:t xml:space="preserve">ихаил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4,174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4"/>
                <w:szCs w:val="24"/>
                <w:u w:val="none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21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28,83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4,507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22,96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shd w:val="nil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поступающих в 10 класс 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года (естественно-научный профиль)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/>
    </w:p>
    <w:tbl>
      <w:tblPr>
        <w:tblStyle w:val="731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4643"/>
        <w:gridCol w:w="1827"/>
        <w:gridCol w:w="1827"/>
        <w:gridCol w:w="1827"/>
        <w:gridCol w:w="1827"/>
        <w:gridCol w:w="1276"/>
        <w:gridCol w:w="1134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п.п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математике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предмету по выбору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ОГЭ по предмету по выбору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(кол-во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аттестата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9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textDirection w:val="lrTb"/>
            <w:noWrap w:val="false"/>
          </w:tcPr>
          <w:p>
            <w:pPr>
              <w:ind w:right="-113"/>
              <w:suppressLineNumbers w:val="0"/>
            </w:pPr>
            <w:r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Батраков Роман</w:t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Лошкарева Алина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9"/>
              <w:numPr>
                <w:ilvl w:val="0"/>
                <w:numId w:val="2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43" w:type="dxa"/>
            <w:vMerge w:val="restart"/>
            <w:textDirection w:val="lrTb"/>
            <w:noWrap w:val="false"/>
          </w:tcPr>
          <w:p>
            <w:pPr>
              <w:ind w:right="-113"/>
              <w:suppressLineNumbers w:val="0"/>
            </w:pPr>
            <w:r>
              <w:rPr>
                <w:rFonts w:ascii="Times New Roman" w:hAnsi="Times New Roman" w:cs="Times New Roman" w:eastAsiaTheme="minorHAnsi"/>
                <w:bCs/>
                <w:color w:val="000000"/>
                <w:sz w:val="24"/>
                <w:szCs w:val="24"/>
                <w:lang w:eastAsia="en-US"/>
              </w:rPr>
              <w:t xml:space="preserve">Кузнецов Владислав</w:t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4,957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W w:w="5210" w:type="dxa"/>
            <w:vMerge w:val="restart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20,67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39,33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82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6838" w:h="11906" w:orient="landscape"/>
      <w:pgMar w:top="425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5"/>
    <w:next w:val="875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5"/>
    <w:next w:val="875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5"/>
    <w:next w:val="87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1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2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3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4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5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6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8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9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0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1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2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3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5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6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7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8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9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0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qFormat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No Spacing"/>
    <w:basedOn w:val="875"/>
    <w:uiPriority w:val="1"/>
    <w:qFormat/>
    <w:pPr>
      <w:spacing w:after="0" w:line="240" w:lineRule="auto"/>
    </w:pPr>
  </w:style>
  <w:style w:type="paragraph" w:styleId="879">
    <w:name w:val="List Paragraph"/>
    <w:basedOn w:val="875"/>
    <w:uiPriority w:val="34"/>
    <w:qFormat/>
    <w:pPr>
      <w:contextualSpacing/>
      <w:ind w:left="720"/>
    </w:pPr>
  </w:style>
  <w:style w:type="character" w:styleId="88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2023-07-06T09:36:34Z</dcterms:modified>
</cp:coreProperties>
</file>